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5E" w:rsidRDefault="00EE225E" w:rsidP="00EE225E">
      <w:pPr>
        <w:ind w:left="7371" w:right="-2" w:hanging="1417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                                    </w:t>
      </w:r>
    </w:p>
    <w:p w:rsidR="00EE225E" w:rsidRPr="00EE225E" w:rsidRDefault="00EE225E" w:rsidP="00EE225E">
      <w:pPr>
        <w:ind w:left="7371" w:right="-2" w:hanging="1417"/>
        <w:rPr>
          <w:sz w:val="20"/>
        </w:rPr>
      </w:pPr>
      <w:r>
        <w:rPr>
          <w:szCs w:val="24"/>
        </w:rPr>
        <w:t xml:space="preserve">                        </w:t>
      </w:r>
      <w:r w:rsidRPr="00EE225E">
        <w:rPr>
          <w:sz w:val="20"/>
        </w:rPr>
        <w:t>PATVIRTINTA</w:t>
      </w:r>
    </w:p>
    <w:p w:rsidR="00EE225E" w:rsidRPr="00EE225E" w:rsidRDefault="00EE225E" w:rsidP="00EE225E">
      <w:pPr>
        <w:ind w:left="7371" w:right="-2"/>
        <w:rPr>
          <w:sz w:val="20"/>
        </w:rPr>
      </w:pPr>
      <w:r w:rsidRPr="00EE225E">
        <w:rPr>
          <w:sz w:val="20"/>
        </w:rPr>
        <w:t>Prienų švietimo pagalbos</w:t>
      </w:r>
    </w:p>
    <w:p w:rsidR="00EE225E" w:rsidRPr="00EE225E" w:rsidRDefault="00EE225E" w:rsidP="00EE225E">
      <w:pPr>
        <w:ind w:left="7371" w:right="-853"/>
        <w:rPr>
          <w:sz w:val="20"/>
          <w:lang w:bidi="lt-LT"/>
        </w:rPr>
      </w:pPr>
      <w:r w:rsidRPr="00EE225E">
        <w:rPr>
          <w:sz w:val="20"/>
        </w:rPr>
        <w:t>tarnybos direktoriaus</w:t>
      </w:r>
    </w:p>
    <w:p w:rsidR="00EE225E" w:rsidRPr="00EE225E" w:rsidRDefault="00EE225E" w:rsidP="00EE225E">
      <w:pPr>
        <w:ind w:left="5812" w:right="-711" w:firstLine="1559"/>
        <w:rPr>
          <w:sz w:val="20"/>
        </w:rPr>
      </w:pPr>
      <w:r w:rsidRPr="00EE225E">
        <w:rPr>
          <w:sz w:val="20"/>
        </w:rPr>
        <w:t xml:space="preserve">2021 m. birželio 16 d. </w:t>
      </w:r>
    </w:p>
    <w:p w:rsidR="00EE225E" w:rsidRPr="00EE225E" w:rsidRDefault="00EE225E" w:rsidP="00EE225E">
      <w:pPr>
        <w:ind w:left="5184" w:right="-1136" w:firstLine="2187"/>
        <w:rPr>
          <w:sz w:val="20"/>
        </w:rPr>
      </w:pPr>
      <w:r w:rsidRPr="00EE225E">
        <w:rPr>
          <w:sz w:val="20"/>
        </w:rPr>
        <w:t>įsakymu Nr. (1.3) VI-37</w:t>
      </w:r>
    </w:p>
    <w:p w:rsidR="00EE225E" w:rsidRDefault="007F0AC9" w:rsidP="001F26F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F0AC9" w:rsidRDefault="007F0AC9" w:rsidP="001F26F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56C22" w:rsidRDefault="00356C22" w:rsidP="00356C22">
      <w:pPr>
        <w:rPr>
          <w:sz w:val="23"/>
          <w:szCs w:val="23"/>
        </w:rPr>
      </w:pPr>
    </w:p>
    <w:p w:rsidR="00356C22" w:rsidRDefault="00356C22" w:rsidP="00356C22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DUOMENŲ VALDYTOJO DUOMENŲ TVARKYMO VEIKLOS ĮRAŠŲ FORMA</w:t>
      </w: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0"/>
        <w:gridCol w:w="49"/>
        <w:gridCol w:w="2502"/>
        <w:gridCol w:w="10"/>
        <w:gridCol w:w="6"/>
        <w:gridCol w:w="2517"/>
        <w:gridCol w:w="37"/>
        <w:gridCol w:w="2399"/>
      </w:tblGrid>
      <w:tr w:rsidR="00356C22" w:rsidTr="00983DA4">
        <w:trPr>
          <w:trHeight w:val="319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Duomenų valdytojas:</w:t>
            </w:r>
          </w:p>
        </w:tc>
      </w:tr>
      <w:tr w:rsidR="00356C22" w:rsidTr="00983DA4">
        <w:trPr>
          <w:trHeight w:val="29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Pr="00B074CE" w:rsidRDefault="0016458F" w:rsidP="00983DA4">
            <w:pPr>
              <w:spacing w:line="256" w:lineRule="auto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Duomenų valdytojo (jei taikoma, ir bendro duomenų valdytojo) pavadinimas (jei fizinis asmuo – vardas ir pavardė)</w:t>
            </w:r>
          </w:p>
        </w:tc>
      </w:tr>
      <w:tr w:rsidR="00356C22" w:rsidTr="00983DA4">
        <w:trPr>
          <w:trHeight w:val="282"/>
        </w:trPr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adresas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tel. nr.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Cs w:val="24"/>
              </w:rPr>
              <w:t>el.</w:t>
            </w:r>
            <w:r w:rsidR="00D73AE2" w:rsidRPr="00B074CE">
              <w:rPr>
                <w:i/>
                <w:color w:val="808080" w:themeColor="background1" w:themeShade="80"/>
                <w:szCs w:val="24"/>
              </w:rPr>
              <w:t xml:space="preserve"> </w:t>
            </w:r>
            <w:r w:rsidRPr="00B074CE">
              <w:rPr>
                <w:i/>
                <w:color w:val="808080" w:themeColor="background1" w:themeShade="80"/>
                <w:szCs w:val="24"/>
              </w:rPr>
              <w:t>p.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kitos ryšių priemonės</w:t>
            </w:r>
          </w:p>
        </w:tc>
      </w:tr>
      <w:tr w:rsidR="00356C22" w:rsidTr="00983DA4">
        <w:trPr>
          <w:trHeight w:val="517"/>
        </w:trPr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56C22" w:rsidTr="00983DA4">
        <w:trPr>
          <w:trHeight w:val="517"/>
        </w:trPr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bCs/>
                <w:color w:val="808080"/>
                <w:szCs w:val="22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bCs/>
                <w:color w:val="808080"/>
                <w:szCs w:val="22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356C22" w:rsidP="0016458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56C22" w:rsidTr="00983DA4">
        <w:trPr>
          <w:trHeight w:val="30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56C22" w:rsidRPr="00B074CE" w:rsidRDefault="00356C22" w:rsidP="0016458F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B074CE">
              <w:rPr>
                <w:b/>
                <w:bCs/>
                <w:color w:val="000000"/>
                <w:sz w:val="23"/>
                <w:szCs w:val="23"/>
              </w:rPr>
              <w:t xml:space="preserve">Duomenų apsaugos pareigūnas </w:t>
            </w:r>
            <w:r w:rsidRPr="00B074CE">
              <w:rPr>
                <w:bCs/>
                <w:color w:val="000000"/>
                <w:sz w:val="23"/>
                <w:szCs w:val="23"/>
              </w:rPr>
              <w:t>(jei taikoma)</w:t>
            </w:r>
            <w:r w:rsidRPr="00B074CE">
              <w:rPr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356C22" w:rsidTr="00983DA4">
        <w:trPr>
          <w:trHeight w:val="29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Pr="00B074CE" w:rsidRDefault="0016458F" w:rsidP="00B074CE">
            <w:pPr>
              <w:spacing w:line="256" w:lineRule="auto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Duomenų apsaugos pareigūno vardas ir pavardė</w:t>
            </w:r>
          </w:p>
        </w:tc>
      </w:tr>
      <w:tr w:rsidR="00356C22" w:rsidTr="00983DA4">
        <w:trPr>
          <w:trHeight w:val="52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adresas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tel. nr.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el. p.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22" w:rsidRPr="00B074CE" w:rsidRDefault="0016458F" w:rsidP="0016458F">
            <w:pPr>
              <w:spacing w:line="256" w:lineRule="auto"/>
              <w:jc w:val="center"/>
              <w:rPr>
                <w:i/>
                <w:color w:val="808080" w:themeColor="background1" w:themeShade="80"/>
                <w:sz w:val="23"/>
                <w:szCs w:val="23"/>
              </w:rPr>
            </w:pPr>
            <w:r w:rsidRPr="00B074CE">
              <w:rPr>
                <w:i/>
                <w:color w:val="808080" w:themeColor="background1" w:themeShade="80"/>
                <w:sz w:val="23"/>
                <w:szCs w:val="23"/>
              </w:rPr>
              <w:t>kitos ryšių priemonės</w:t>
            </w:r>
          </w:p>
        </w:tc>
      </w:tr>
      <w:tr w:rsidR="00356C22" w:rsidTr="00983DA4">
        <w:trPr>
          <w:trHeight w:val="1279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Duomenų tvarkymo tikslas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C8673B" w:rsidRPr="00D76C00">
              <w:rPr>
                <w:bCs/>
                <w:i/>
                <w:color w:val="808080" w:themeColor="background1" w:themeShade="80"/>
                <w:sz w:val="23"/>
                <w:szCs w:val="23"/>
              </w:rPr>
              <w:t>Vidaus administravimas,</w:t>
            </w:r>
            <w:r w:rsidR="00C8673B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i/>
                <w:color w:val="808080"/>
                <w:sz w:val="22"/>
                <w:szCs w:val="22"/>
              </w:rPr>
              <w:t>įdarbinimas, personalo administravimas, tarnybinis tyrimas dėl tarnybinio nusižengimo, vaizdo konferencijų organizavimas, viešosios informacijos administravimas, patalpų ir</w:t>
            </w:r>
            <w:r w:rsidR="00C8673B">
              <w:rPr>
                <w:bCs/>
                <w:i/>
                <w:color w:val="808080"/>
                <w:sz w:val="22"/>
                <w:szCs w:val="22"/>
              </w:rPr>
              <w:t xml:space="preserve"> teritorijos apsauga, viešųjų pirkimų </w:t>
            </w:r>
            <w:r>
              <w:rPr>
                <w:bCs/>
                <w:i/>
                <w:color w:val="808080"/>
                <w:sz w:val="22"/>
                <w:szCs w:val="22"/>
              </w:rPr>
              <w:t>vykdymas, asmenų aptarnavimas, leidimų</w:t>
            </w:r>
            <w:r w:rsidR="00D76C00">
              <w:rPr>
                <w:bCs/>
                <w:i/>
                <w:color w:val="808080"/>
                <w:sz w:val="22"/>
                <w:szCs w:val="22"/>
              </w:rPr>
              <w:t>, licenc</w:t>
            </w:r>
            <w:r w:rsidR="00C8673B">
              <w:rPr>
                <w:bCs/>
                <w:i/>
                <w:color w:val="808080"/>
                <w:sz w:val="22"/>
                <w:szCs w:val="22"/>
              </w:rPr>
              <w:t xml:space="preserve">ijų </w:t>
            </w:r>
            <w:r>
              <w:rPr>
                <w:bCs/>
                <w:i/>
                <w:color w:val="808080"/>
                <w:sz w:val="22"/>
                <w:szCs w:val="22"/>
              </w:rPr>
              <w:t>išdavimas, įgaliojimų suteikimas ir t. t.)</w:t>
            </w:r>
          </w:p>
        </w:tc>
      </w:tr>
      <w:tr w:rsidR="00356C22" w:rsidTr="00983DA4">
        <w:trPr>
          <w:trHeight w:val="83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Duomenų tvarkymo teisinis pagrindas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i/>
                <w:color w:val="808080"/>
                <w:sz w:val="22"/>
                <w:szCs w:val="22"/>
              </w:rPr>
              <w:t xml:space="preserve">nurodoma BDAR 6 straipsnio. 1 dalies ir jei taikoma 9 straipsnio 2 dalies konkretus punktas ir jei taikoma Lietuvos Respublikos teisės aktas, kuris suteikia teisę tvarkyti asmens duomenis  </w:t>
            </w:r>
            <w:r>
              <w:rPr>
                <w:bCs/>
                <w:color w:val="808080"/>
                <w:sz w:val="22"/>
                <w:szCs w:val="22"/>
              </w:rPr>
              <w:t>(</w:t>
            </w:r>
            <w:r>
              <w:rPr>
                <w:bCs/>
                <w:i/>
                <w:color w:val="808080"/>
                <w:sz w:val="22"/>
                <w:szCs w:val="22"/>
              </w:rPr>
              <w:t>pvz., Darbo kodeksas, Visuomenės informavimo įstatymas, Viešojo administravimo įstatymas, sutikimas ir t. t.)</w:t>
            </w:r>
          </w:p>
        </w:tc>
      </w:tr>
      <w:tr w:rsidR="00356C22" w:rsidTr="00983DA4">
        <w:trPr>
          <w:trHeight w:val="83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Duomenų subjektų kategorijų aprašymas</w:t>
            </w:r>
            <w:r>
              <w:rPr>
                <w:bCs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i/>
                <w:color w:val="808080"/>
                <w:sz w:val="22"/>
                <w:szCs w:val="22"/>
              </w:rPr>
              <w:t>(pvz., asmenys, pretenduojantys arba paskirti (priimti) į pareigas;  asmenys, su kuriais sudaroma tarnybos (darbo) sutartis; asmenys, teikiami skatinti ar apdovanoti; asmenys, kurie prašo leidimo dirbti kitą darbą; asmenys, kurių atžvilgiu atliekamas tarnybinis tyrimas, ir kiti asmenys, susiję su teisės pažeidimo tyrimu; vaizdo konferencijų dalyviai, žurnalistai ir kiti asmenys, asmenys, patenkantys į vaizdo stebėjimo lauką; klientai, ir t. t.)</w:t>
            </w:r>
            <w:r>
              <w:rPr>
                <w:color w:val="808080"/>
                <w:sz w:val="22"/>
                <w:szCs w:val="22"/>
              </w:rPr>
              <w:t xml:space="preserve"> </w:t>
            </w:r>
            <w:r>
              <w:rPr>
                <w:i/>
                <w:color w:val="808080"/>
                <w:sz w:val="22"/>
                <w:szCs w:val="22"/>
              </w:rPr>
              <w:t>Esant kelioms duomenų subjektų grupėms, atskirai nurodomi kiekvienos duomenų subjektų grupės tvarkomi asmens duomenys (įskaitant ir specialių kategorijų asmens duomenis), jeigu tvarkomi duomenys yra skirtingi.</w:t>
            </w:r>
          </w:p>
        </w:tc>
      </w:tr>
      <w:tr w:rsidR="00356C22" w:rsidTr="00983DA4">
        <w:trPr>
          <w:trHeight w:val="52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shd w:val="clear" w:color="auto" w:fill="DAEEF3"/>
              </w:rPr>
              <w:t>Asmens duomenų kategorijų aprašymas</w:t>
            </w:r>
            <w:r>
              <w:rPr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bCs/>
                <w:i/>
                <w:color w:val="808080"/>
                <w:sz w:val="22"/>
                <w:szCs w:val="22"/>
              </w:rPr>
              <w:t xml:space="preserve">(pvz., vardas, pavardė, gimimo data, adresas, </w:t>
            </w:r>
            <w:r w:rsidR="00D76C00">
              <w:rPr>
                <w:bCs/>
                <w:i/>
                <w:color w:val="808080"/>
                <w:sz w:val="22"/>
                <w:szCs w:val="22"/>
              </w:rPr>
              <w:t xml:space="preserve">telefono numeris, el. p. pavadinimas, </w:t>
            </w:r>
            <w:r>
              <w:rPr>
                <w:bCs/>
                <w:i/>
                <w:color w:val="808080"/>
                <w:sz w:val="22"/>
                <w:szCs w:val="22"/>
              </w:rPr>
              <w:t xml:space="preserve">vaizdo duomenys, </w:t>
            </w:r>
            <w:r>
              <w:rPr>
                <w:i/>
                <w:color w:val="808080"/>
                <w:sz w:val="22"/>
                <w:szCs w:val="22"/>
              </w:rPr>
              <w:t xml:space="preserve">priskaičiuotas darbo užmokestis, duomenys apie sveikatą, telefono pokalbio įrašas, IP adresas </w:t>
            </w:r>
            <w:r>
              <w:rPr>
                <w:bCs/>
                <w:i/>
                <w:color w:val="808080"/>
                <w:sz w:val="22"/>
                <w:szCs w:val="22"/>
              </w:rPr>
              <w:t>ir t. t.)</w:t>
            </w:r>
          </w:p>
        </w:tc>
      </w:tr>
      <w:tr w:rsidR="00356C22" w:rsidTr="00983DA4">
        <w:trPr>
          <w:trHeight w:val="84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i/>
                <w:color w:val="000000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Asmens duomenų gavėjų kategorijos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808080"/>
                <w:sz w:val="22"/>
                <w:szCs w:val="22"/>
              </w:rPr>
              <w:t xml:space="preserve">(pvz., teisėsaugos institucijos, kurjerių tarnybos, bankai, </w:t>
            </w:r>
            <w:r w:rsidR="00D76C00">
              <w:rPr>
                <w:i/>
                <w:color w:val="808080"/>
                <w:sz w:val="22"/>
                <w:szCs w:val="22"/>
              </w:rPr>
              <w:t xml:space="preserve">VMI, </w:t>
            </w:r>
            <w:r>
              <w:rPr>
                <w:i/>
                <w:color w:val="808080"/>
                <w:sz w:val="22"/>
                <w:szCs w:val="22"/>
              </w:rPr>
              <w:t>Sodra, valstybės ir savivaldybių institucijos ir įstaigos teisės aktų nustatytoms funkcijoms vykdyti bei kiti fiziniai ir juridiniai asmenys, turintys teisę gauti duomenis, ir t. t.)</w:t>
            </w:r>
          </w:p>
        </w:tc>
      </w:tr>
      <w:tr w:rsidR="00356C22" w:rsidTr="00983DA4">
        <w:trPr>
          <w:trHeight w:val="84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i/>
                <w:color w:val="000000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Asmens duomenų šaltinis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808080"/>
                <w:sz w:val="22"/>
                <w:szCs w:val="22"/>
              </w:rPr>
              <w:t xml:space="preserve">(pvz., tiesiogiai iš duomenų subjekto, </w:t>
            </w:r>
            <w:r w:rsidR="00D76C00">
              <w:rPr>
                <w:i/>
                <w:color w:val="808080"/>
                <w:sz w:val="22"/>
                <w:szCs w:val="22"/>
              </w:rPr>
              <w:t xml:space="preserve">iš VMI, </w:t>
            </w:r>
            <w:r>
              <w:rPr>
                <w:i/>
                <w:color w:val="808080"/>
                <w:sz w:val="22"/>
                <w:szCs w:val="22"/>
              </w:rPr>
              <w:t>iš Gyventojų</w:t>
            </w:r>
            <w:r w:rsidR="00D76C00">
              <w:rPr>
                <w:i/>
                <w:color w:val="808080"/>
                <w:sz w:val="22"/>
                <w:szCs w:val="22"/>
              </w:rPr>
              <w:t xml:space="preserve"> ir kitų registrų</w:t>
            </w:r>
            <w:r>
              <w:rPr>
                <w:i/>
                <w:color w:val="808080"/>
                <w:sz w:val="22"/>
                <w:szCs w:val="22"/>
              </w:rPr>
              <w:t>, iš duomenų subjekto buvusio darbdavio, iš banko, iš vaizdo įrašymo priemonės, iš Sodros ir t. t.)</w:t>
            </w:r>
          </w:p>
        </w:tc>
      </w:tr>
      <w:tr w:rsidR="00356C22" w:rsidTr="00983DA4">
        <w:trPr>
          <w:trHeight w:val="30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Asmens duomenų perdavimai į trečiąją valstybę arba tarptautinei organizacijai </w:t>
            </w:r>
            <w:r>
              <w:rPr>
                <w:color w:val="000000"/>
                <w:sz w:val="23"/>
                <w:szCs w:val="23"/>
              </w:rPr>
              <w:t>(kai taikoma)</w:t>
            </w:r>
            <w:r>
              <w:rPr>
                <w:b/>
                <w:color w:val="000000"/>
                <w:sz w:val="23"/>
                <w:szCs w:val="23"/>
              </w:rPr>
              <w:t>:</w:t>
            </w:r>
          </w:p>
        </w:tc>
      </w:tr>
      <w:tr w:rsidR="00356C22" w:rsidTr="00983DA4">
        <w:trPr>
          <w:trHeight w:val="803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color w:val="000000"/>
                <w:sz w:val="23"/>
                <w:szCs w:val="23"/>
              </w:rPr>
            </w:pPr>
            <w:r>
              <w:rPr>
                <w:i/>
                <w:color w:val="808080"/>
                <w:sz w:val="22"/>
                <w:szCs w:val="22"/>
              </w:rPr>
              <w:t>Trečiosios valstybės arba tarptautinės organizacijos, kuriai perduodami asmens duomenys, pavadinimas: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i/>
                <w:color w:val="808080"/>
                <w:szCs w:val="22"/>
              </w:rPr>
            </w:pPr>
            <w:r>
              <w:rPr>
                <w:i/>
                <w:color w:val="808080"/>
                <w:sz w:val="22"/>
                <w:szCs w:val="22"/>
              </w:rPr>
              <w:t>BDAR 49 straipsnio 1 dalies antroje pastraipoje nurodytais duomenų perdavimų atvejais tinkamų apsaugos priemonių dokumentai:</w:t>
            </w:r>
          </w:p>
        </w:tc>
      </w:tr>
      <w:tr w:rsidR="00356C22" w:rsidTr="00983DA4">
        <w:trPr>
          <w:trHeight w:val="327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i/>
                <w:color w:val="808080"/>
                <w:szCs w:val="22"/>
              </w:rPr>
            </w:pPr>
            <w:r>
              <w:rPr>
                <w:i/>
                <w:color w:val="808080"/>
                <w:sz w:val="22"/>
                <w:szCs w:val="22"/>
              </w:rPr>
              <w:t>Kita informacija, susijusi su asmens duomenų perdavimu</w:t>
            </w:r>
          </w:p>
        </w:tc>
      </w:tr>
      <w:tr w:rsidR="00356C22" w:rsidTr="00983DA4">
        <w:trPr>
          <w:trHeight w:val="649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lastRenderedPageBreak/>
              <w:t>Numatomi asmens duomenų saugojimo, ištrynimo terminai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</w:rPr>
              <w:t xml:space="preserve">(kai įmanoma) </w:t>
            </w:r>
            <w:r>
              <w:rPr>
                <w:bCs/>
                <w:i/>
                <w:color w:val="808080"/>
                <w:sz w:val="22"/>
                <w:szCs w:val="22"/>
              </w:rPr>
              <w:t>(pvz., 10 metų po sutarties įvykdymo, 30 kalendorinių dienų, 3 mėn. nuo atrankos pabaigos, 6 mėn. nuo kandidato dokumentų gavimo ir t. t.)</w:t>
            </w:r>
          </w:p>
        </w:tc>
      </w:tr>
      <w:tr w:rsidR="00356C22" w:rsidTr="00983DA4">
        <w:trPr>
          <w:trHeight w:val="649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Asmens duomenų saugojimo vieta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i/>
                <w:color w:val="808080"/>
                <w:sz w:val="22"/>
                <w:szCs w:val="22"/>
              </w:rPr>
              <w:t>(pvz., rakinama spinta, darbuotojo kompiuteryje, SAM serveryje, valstybės registre ar informacinėje sistemoje ir t. t.)</w:t>
            </w:r>
          </w:p>
        </w:tc>
      </w:tr>
      <w:tr w:rsidR="00356C22" w:rsidTr="00983DA4">
        <w:trPr>
          <w:trHeight w:val="62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Bendras duomenų saugumo priemonių </w:t>
            </w:r>
            <w:r>
              <w:rPr>
                <w:bCs/>
                <w:color w:val="000000"/>
                <w:sz w:val="23"/>
                <w:szCs w:val="23"/>
              </w:rPr>
              <w:t>(nurodytų</w:t>
            </w:r>
            <w:r>
              <w:rPr>
                <w:sz w:val="23"/>
                <w:szCs w:val="23"/>
              </w:rPr>
              <w:t xml:space="preserve"> </w:t>
            </w:r>
            <w:r>
              <w:t>BDAR</w:t>
            </w:r>
            <w:r>
              <w:rPr>
                <w:sz w:val="23"/>
                <w:szCs w:val="23"/>
              </w:rPr>
              <w:t xml:space="preserve"> 32 straipsnio 1 dalyje)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aprašymas </w:t>
            </w:r>
            <w:r>
              <w:rPr>
                <w:bCs/>
                <w:color w:val="000000"/>
                <w:sz w:val="23"/>
                <w:szCs w:val="23"/>
              </w:rPr>
              <w:t>(kai įmanoma)</w:t>
            </w:r>
            <w:r>
              <w:rPr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356C22" w:rsidTr="00983DA4">
        <w:trPr>
          <w:trHeight w:val="294"/>
        </w:trPr>
        <w:tc>
          <w:tcPr>
            <w:tcW w:w="5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ind w:left="62" w:hanging="6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Techninės saugumo priemonės: </w:t>
            </w:r>
          </w:p>
          <w:p w:rsidR="00356C22" w:rsidRDefault="00356C22" w:rsidP="00983DA4">
            <w:pPr>
              <w:spacing w:line="256" w:lineRule="auto"/>
              <w:ind w:left="62" w:right="122" w:hanging="62"/>
              <w:rPr>
                <w:color w:val="000000"/>
                <w:szCs w:val="22"/>
              </w:rPr>
            </w:pPr>
            <w:r>
              <w:rPr>
                <w:i/>
                <w:color w:val="808080"/>
                <w:sz w:val="22"/>
                <w:szCs w:val="22"/>
              </w:rPr>
              <w:t xml:space="preserve">(pvz., programinė įranga yra nuolatos atnaujinama, aprūpinta ugniasienėmis ir antivirusinėmis programomis, </w:t>
            </w:r>
            <w:r w:rsidR="00C8673B">
              <w:rPr>
                <w:i/>
                <w:color w:val="808080"/>
                <w:sz w:val="22"/>
                <w:szCs w:val="22"/>
              </w:rPr>
              <w:t xml:space="preserve">slaptažodžiais, atskiros prieigos darbuotojams, </w:t>
            </w:r>
            <w:r>
              <w:rPr>
                <w:i/>
                <w:color w:val="808080"/>
                <w:sz w:val="22"/>
                <w:szCs w:val="22"/>
              </w:rPr>
              <w:t>daromos atsarginės duomenų kopijos, atliekamas duomenų šifravimas ir t. t.)</w:t>
            </w:r>
          </w:p>
        </w:tc>
        <w:tc>
          <w:tcPr>
            <w:tcW w:w="4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22" w:rsidRDefault="00356C22" w:rsidP="00983DA4">
            <w:pPr>
              <w:spacing w:line="256" w:lineRule="auto"/>
              <w:ind w:left="62" w:hanging="6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Organizacinės saugumo priemonės: </w:t>
            </w:r>
          </w:p>
          <w:p w:rsidR="00356C22" w:rsidRDefault="00356C22" w:rsidP="00983DA4">
            <w:pPr>
              <w:spacing w:line="256" w:lineRule="auto"/>
              <w:ind w:left="62" w:hanging="62"/>
              <w:rPr>
                <w:color w:val="000000"/>
                <w:szCs w:val="22"/>
              </w:rPr>
            </w:pPr>
            <w:r>
              <w:rPr>
                <w:i/>
                <w:color w:val="808080"/>
                <w:sz w:val="22"/>
                <w:szCs w:val="22"/>
                <w:shd w:val="clear" w:color="auto" w:fill="FFFFFF"/>
              </w:rPr>
              <w:t>(pvz</w:t>
            </w:r>
            <w:r>
              <w:rPr>
                <w:i/>
                <w:color w:val="808080"/>
                <w:sz w:val="22"/>
                <w:szCs w:val="22"/>
              </w:rPr>
              <w:t>., informacinių sistemų ir duomenų bazių vartotojų teisių ribojimas ir kontrolė, asmenys, dirbantys su asmens duomenimis, yra saistomi teisės aktuose nustatytų konfidencialumo pareigų ir t. t.)</w:t>
            </w:r>
          </w:p>
        </w:tc>
      </w:tr>
      <w:tr w:rsidR="00356C22" w:rsidTr="00983DA4">
        <w:trPr>
          <w:trHeight w:val="1037"/>
        </w:trPr>
        <w:tc>
          <w:tcPr>
            <w:tcW w:w="5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Default="00356C22" w:rsidP="00983DA4">
            <w:pPr>
              <w:rPr>
                <w:color w:val="000000"/>
                <w:szCs w:val="22"/>
              </w:rPr>
            </w:pPr>
          </w:p>
        </w:tc>
        <w:tc>
          <w:tcPr>
            <w:tcW w:w="4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22" w:rsidRDefault="00356C22" w:rsidP="00983DA4">
            <w:pPr>
              <w:rPr>
                <w:color w:val="000000"/>
                <w:szCs w:val="22"/>
              </w:rPr>
            </w:pPr>
          </w:p>
        </w:tc>
      </w:tr>
      <w:tr w:rsidR="00356C22" w:rsidTr="00983DA4">
        <w:trPr>
          <w:trHeight w:val="834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DAEEF3"/>
              </w:rPr>
              <w:t>Kita informacija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808080"/>
                <w:sz w:val="22"/>
                <w:szCs w:val="22"/>
              </w:rPr>
              <w:t>(pvz., Pranešimo duomenų subjektui apie asmens duomenų tvarkymą pateikimo vieta (arba aplinkybės, dėl kurių neįmanoma informuoti duomenų subjekto apie jo duomenų tvarkymą), kitų duomenų subjekto teisių įgyvendinimo ypatumai, nuorodos į kitus su duomenų apsauga susijusius dokumentus (į poveikio duomenų apsaugai vertinimą, vidaus tvarkos taisykles, informaciją apie asmens duomenų tvarkymą ir t. t.)</w:t>
            </w:r>
          </w:p>
        </w:tc>
      </w:tr>
      <w:tr w:rsidR="00356C22" w:rsidTr="00983DA4">
        <w:trPr>
          <w:trHeight w:val="30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56C22" w:rsidRDefault="00356C22" w:rsidP="00983DA4">
            <w:pPr>
              <w:spacing w:line="256" w:lineRule="auto"/>
              <w:rPr>
                <w:b/>
                <w:bCs/>
                <w:color w:val="000000"/>
                <w:spacing w:val="-6"/>
                <w:sz w:val="23"/>
                <w:szCs w:val="23"/>
              </w:rPr>
            </w:pPr>
            <w:r>
              <w:rPr>
                <w:b/>
                <w:bCs/>
                <w:color w:val="000000"/>
                <w:spacing w:val="-6"/>
                <w:sz w:val="23"/>
                <w:szCs w:val="23"/>
              </w:rPr>
              <w:t xml:space="preserve">Duomenų įvedimo, keitimo data </w:t>
            </w:r>
          </w:p>
        </w:tc>
      </w:tr>
      <w:tr w:rsidR="00983DA4" w:rsidTr="00983DA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080" w:type="dxa"/>
            <w:gridSpan w:val="8"/>
          </w:tcPr>
          <w:p w:rsidR="00983DA4" w:rsidRDefault="00983DA4" w:rsidP="00983DA4">
            <w:pPr>
              <w:jc w:val="center"/>
            </w:pPr>
          </w:p>
        </w:tc>
      </w:tr>
    </w:tbl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356C22">
      <w:pPr>
        <w:jc w:val="center"/>
      </w:pPr>
    </w:p>
    <w:p w:rsidR="00356C22" w:rsidRDefault="00356C22" w:rsidP="00D76C00"/>
    <w:p w:rsidR="00D76C00" w:rsidRDefault="00D76C00" w:rsidP="00D76C00"/>
    <w:p w:rsidR="00356C22" w:rsidRDefault="00356C22" w:rsidP="00356C22">
      <w:pPr>
        <w:jc w:val="center"/>
      </w:pPr>
    </w:p>
    <w:p w:rsidR="00356C22" w:rsidRDefault="00356C22" w:rsidP="00356C22"/>
    <w:p w:rsidR="00983DA4" w:rsidRDefault="00983DA4" w:rsidP="00356C22">
      <w:pPr>
        <w:jc w:val="center"/>
        <w:rPr>
          <w:b/>
          <w:bCs/>
          <w:color w:val="000000"/>
          <w:sz w:val="23"/>
          <w:szCs w:val="23"/>
        </w:rPr>
      </w:pPr>
    </w:p>
    <w:p w:rsidR="00983DA4" w:rsidRDefault="00983DA4" w:rsidP="00356C22">
      <w:pPr>
        <w:jc w:val="center"/>
        <w:rPr>
          <w:b/>
          <w:bCs/>
          <w:color w:val="000000"/>
          <w:sz w:val="23"/>
          <w:szCs w:val="23"/>
        </w:rPr>
      </w:pPr>
    </w:p>
    <w:p w:rsidR="00983DA4" w:rsidRDefault="00983DA4" w:rsidP="00356C22">
      <w:pPr>
        <w:jc w:val="center"/>
        <w:rPr>
          <w:b/>
          <w:bCs/>
          <w:color w:val="000000"/>
          <w:sz w:val="23"/>
          <w:szCs w:val="23"/>
        </w:rPr>
      </w:pPr>
    </w:p>
    <w:p w:rsidR="00D73AE2" w:rsidRDefault="00D73AE2" w:rsidP="00356C22">
      <w:pPr>
        <w:jc w:val="center"/>
        <w:rPr>
          <w:b/>
          <w:bCs/>
          <w:color w:val="000000"/>
          <w:sz w:val="23"/>
          <w:szCs w:val="23"/>
        </w:rPr>
      </w:pPr>
    </w:p>
    <w:p w:rsidR="00D73AE2" w:rsidRDefault="00D73AE2" w:rsidP="00356C22">
      <w:pPr>
        <w:jc w:val="center"/>
        <w:rPr>
          <w:b/>
          <w:bCs/>
          <w:color w:val="000000"/>
          <w:sz w:val="23"/>
          <w:szCs w:val="23"/>
        </w:rPr>
      </w:pPr>
    </w:p>
    <w:p w:rsidR="00D73AE2" w:rsidRDefault="00D73AE2" w:rsidP="00356C22">
      <w:pPr>
        <w:jc w:val="center"/>
        <w:rPr>
          <w:b/>
          <w:bCs/>
          <w:color w:val="000000"/>
          <w:sz w:val="23"/>
          <w:szCs w:val="23"/>
        </w:rPr>
      </w:pPr>
    </w:p>
    <w:p w:rsidR="00D73AE2" w:rsidRDefault="00D73AE2" w:rsidP="00356C22">
      <w:pPr>
        <w:jc w:val="center"/>
        <w:rPr>
          <w:b/>
          <w:bCs/>
          <w:color w:val="000000"/>
          <w:sz w:val="23"/>
          <w:szCs w:val="23"/>
        </w:rPr>
      </w:pPr>
    </w:p>
    <w:p w:rsidR="00BE585A" w:rsidRDefault="00BE585A"/>
    <w:sectPr w:rsidR="00BE585A" w:rsidSect="00EE225E">
      <w:headerReference w:type="default" r:id="rId8"/>
      <w:pgSz w:w="12240" w:h="15840"/>
      <w:pgMar w:top="284" w:right="567" w:bottom="1134" w:left="1701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E" w:rsidRDefault="004C3DFE" w:rsidP="006A61F0">
      <w:r>
        <w:separator/>
      </w:r>
    </w:p>
  </w:endnote>
  <w:endnote w:type="continuationSeparator" w:id="0">
    <w:p w:rsidR="004C3DFE" w:rsidRDefault="004C3DFE" w:rsidP="006A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E" w:rsidRDefault="004C3DFE" w:rsidP="006A61F0">
      <w:r>
        <w:separator/>
      </w:r>
    </w:p>
  </w:footnote>
  <w:footnote w:type="continuationSeparator" w:id="0">
    <w:p w:rsidR="004C3DFE" w:rsidRDefault="004C3DFE" w:rsidP="006A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296323"/>
      <w:docPartObj>
        <w:docPartGallery w:val="Page Numbers (Top of Page)"/>
        <w:docPartUnique/>
      </w:docPartObj>
    </w:sdtPr>
    <w:sdtEndPr/>
    <w:sdtContent>
      <w:p w:rsidR="00D73AE2" w:rsidRDefault="00CF59C5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6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AE2" w:rsidRDefault="00D73A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7846"/>
    <w:multiLevelType w:val="hybridMultilevel"/>
    <w:tmpl w:val="D160F9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22"/>
    <w:rsid w:val="0000252F"/>
    <w:rsid w:val="00010708"/>
    <w:rsid w:val="0016458F"/>
    <w:rsid w:val="001A0670"/>
    <w:rsid w:val="001F26FE"/>
    <w:rsid w:val="00246018"/>
    <w:rsid w:val="00294736"/>
    <w:rsid w:val="003472B7"/>
    <w:rsid w:val="00356C22"/>
    <w:rsid w:val="0045022A"/>
    <w:rsid w:val="00466C50"/>
    <w:rsid w:val="004A0500"/>
    <w:rsid w:val="004A7305"/>
    <w:rsid w:val="004C3DFE"/>
    <w:rsid w:val="00513190"/>
    <w:rsid w:val="00535208"/>
    <w:rsid w:val="00544D08"/>
    <w:rsid w:val="006435A7"/>
    <w:rsid w:val="00643B19"/>
    <w:rsid w:val="00653B52"/>
    <w:rsid w:val="006A61F0"/>
    <w:rsid w:val="006C0887"/>
    <w:rsid w:val="00700C65"/>
    <w:rsid w:val="00777C92"/>
    <w:rsid w:val="007900D3"/>
    <w:rsid w:val="007A5007"/>
    <w:rsid w:val="007D3E79"/>
    <w:rsid w:val="007F0AC9"/>
    <w:rsid w:val="00833C31"/>
    <w:rsid w:val="00855F6B"/>
    <w:rsid w:val="0085606D"/>
    <w:rsid w:val="00860C09"/>
    <w:rsid w:val="008730F1"/>
    <w:rsid w:val="0089077E"/>
    <w:rsid w:val="00957A82"/>
    <w:rsid w:val="009712F7"/>
    <w:rsid w:val="009715D5"/>
    <w:rsid w:val="00983DA4"/>
    <w:rsid w:val="009E70C4"/>
    <w:rsid w:val="00A04EEC"/>
    <w:rsid w:val="00A37C10"/>
    <w:rsid w:val="00A70954"/>
    <w:rsid w:val="00B074CE"/>
    <w:rsid w:val="00B664D1"/>
    <w:rsid w:val="00BC3E38"/>
    <w:rsid w:val="00BE585A"/>
    <w:rsid w:val="00BF6E23"/>
    <w:rsid w:val="00C8673B"/>
    <w:rsid w:val="00CF59C5"/>
    <w:rsid w:val="00D43BA9"/>
    <w:rsid w:val="00D73AE2"/>
    <w:rsid w:val="00D76C00"/>
    <w:rsid w:val="00D85B55"/>
    <w:rsid w:val="00D97B36"/>
    <w:rsid w:val="00E3716C"/>
    <w:rsid w:val="00E73F5B"/>
    <w:rsid w:val="00EE225E"/>
    <w:rsid w:val="00F16942"/>
    <w:rsid w:val="00FE1C0B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6E6E-A91E-4D3B-B6F5-9186122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56C2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61F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61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A61F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61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C86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raopastraipaDiagrama">
    <w:name w:val="Sąrašo pastraipa Diagrama"/>
    <w:basedOn w:val="Numatytasispastraiposriftas"/>
    <w:link w:val="Sraopastraipa"/>
    <w:uiPriority w:val="99"/>
    <w:locked/>
    <w:rsid w:val="00C8673B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22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225E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FF96-182D-4A61-964A-1CB26E94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„Windows“ vartotojas</cp:lastModifiedBy>
  <cp:revision>2</cp:revision>
  <cp:lastPrinted>2021-06-17T06:27:00Z</cp:lastPrinted>
  <dcterms:created xsi:type="dcterms:W3CDTF">2021-06-18T06:44:00Z</dcterms:created>
  <dcterms:modified xsi:type="dcterms:W3CDTF">2021-06-18T06:44:00Z</dcterms:modified>
</cp:coreProperties>
</file>